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80" w:type="dxa"/>
        <w:tblInd w:w="0" w:type="dxa"/>
        <w:tblLayout w:type="autofit"/>
        <w:tblCellMar>
          <w:top w:w="0" w:type="dxa"/>
          <w:left w:w="108" w:type="dxa"/>
          <w:bottom w:w="0" w:type="dxa"/>
          <w:right w:w="108" w:type="dxa"/>
        </w:tblCellMar>
      </w:tblPr>
      <w:tblGrid>
        <w:gridCol w:w="800"/>
        <w:gridCol w:w="160"/>
        <w:gridCol w:w="5904"/>
        <w:gridCol w:w="3756"/>
        <w:gridCol w:w="1340"/>
        <w:gridCol w:w="1420"/>
      </w:tblGrid>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w:t>
            </w: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760"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01/PCTN</w:t>
            </w:r>
          </w:p>
        </w:tc>
      </w:tr>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338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TỔNG HỢP KẾT QUẢ VỀ CÔNG TÁC PHÒNG, CHỐNG THAM NHŨNG QUÝ </w:t>
            </w:r>
            <w:r>
              <w:rPr>
                <w:rFonts w:hint="default" w:ascii="Times New Roman" w:hAnsi="Times New Roman" w:eastAsia="Times New Roman" w:cs="Times New Roman"/>
                <w:b/>
                <w:bCs/>
                <w:sz w:val="28"/>
                <w:szCs w:val="28"/>
                <w:lang w:val="en-US"/>
              </w:rPr>
              <w:t>4</w:t>
            </w:r>
            <w:r>
              <w:rPr>
                <w:rFonts w:ascii="Times New Roman" w:hAnsi="Times New Roman" w:eastAsia="Times New Roman" w:cs="Times New Roman"/>
                <w:b/>
                <w:bCs/>
                <w:sz w:val="28"/>
                <w:szCs w:val="28"/>
              </w:rPr>
              <w:t xml:space="preserve"> NĂM 2022</w:t>
            </w:r>
          </w:p>
        </w:tc>
      </w:tr>
      <w:tr>
        <w:tblPrEx>
          <w:tblCellMar>
            <w:top w:w="0" w:type="dxa"/>
            <w:left w:w="108" w:type="dxa"/>
            <w:bottom w:w="0" w:type="dxa"/>
            <w:right w:w="108" w:type="dxa"/>
          </w:tblCellMar>
        </w:tblPrEx>
        <w:trPr>
          <w:trHeight w:val="375" w:hRule="atLeast"/>
        </w:trPr>
        <w:tc>
          <w:tcPr>
            <w:tcW w:w="1338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9</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30"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bookmarkStart w:id="0" w:name="_GoBack"/>
            <w:bookmarkEnd w:id="0"/>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MS</w:t>
            </w:r>
          </w:p>
        </w:tc>
        <w:tc>
          <w:tcPr>
            <w:tcW w:w="590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NỘI DUNG</w:t>
            </w:r>
          </w:p>
        </w:tc>
        <w:tc>
          <w:tcPr>
            <w:tcW w:w="117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ĐVT</w:t>
            </w:r>
          </w:p>
        </w:tc>
        <w:tc>
          <w:tcPr>
            <w:tcW w:w="1536"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Số liệu quý 4 năm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6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590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17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536"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CHÍNH SÁCH, PHÁP LUẬT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ban hành mới để thực hiện Luật PCTN và các văn bản hướng dẫn thi hành Luât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sửa đổi, bổ sung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bãi bỏ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TUYÊN TRUYỀN, PHỔ BIẾN, GIÁO DỤC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lớp tuyên truyền, quán triệt pháp luật về phòng, chống tham nhũng được tổ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Lớp</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lượt cán bộ, công chức, viên chức, nhân dân tham gia các lớp tập huấn, quán triệt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lượng đầu sách, tài liệu về pháp luật phòng, chống tham nhũng được xuất bản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Tài liệu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NGỪA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Kết quả thực hiện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được kiểm tra việc thực hiện các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bị phát hiện có vi phạm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Xây dựng và thực hiện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ban hành mới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sửa đổi, bổ sung, bãi bỏ</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thanh tra, kiểm tra việc thực hiện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các vi phạm về định mức, tiêu chuẩn, chế độ được kiến nghị thu hồi và bồi thường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vi phạm định mức, tiêu chuẩn, chế độ đã được thu hồi và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vi phạm quy tắc ứng xử, quy tắc đạo đức nghề nghiệp đã bị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nộp lại quà tặng cho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Giá trị quà tặng đã được nộp lại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vì xung đột lợi ích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về việc kinh doanh trong thời hạn không được kinh doanh sau khi thôi giữ chức vụ</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Chuyển đổi vị trí công tác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được chuyển đổi vị trí công tác nhằm phòng ngừa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Cải cách hành chính, ứng dụng khoa học công nghệ trong quản lý và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mức độ 3 hoặc 4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yêu cầu người dân, doanh nghiệp bổ sung hồ sơ từ 02 lần trở lên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kiểm tra, thanh tra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phát hiện vi phạm trong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giao dịch qua Hệ thống thanh toán điện tử liên ngân hàng (1)</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Tỷ trọng tiền mặt trên tổng phương tiện thanh toán (2)</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các quy định về kiểm soát tài sản, thu nhập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thực hiện kê khai tài sản, thu nhập</w:t>
            </w:r>
            <w:r>
              <w:rPr>
                <w:rStyle w:val="41"/>
                <w:rFonts w:eastAsia="SimSun"/>
                <w:sz w:val="24"/>
                <w:szCs w:val="24"/>
                <w:lang w:val="en-US" w:eastAsia="zh-CN" w:bidi="ar"/>
              </w:rPr>
              <w:t xml:space="preserve"> </w:t>
            </w:r>
            <w:r>
              <w:rPr>
                <w:rStyle w:val="42"/>
                <w:rFonts w:eastAsia="SimSun"/>
                <w:sz w:val="24"/>
                <w:szCs w:val="24"/>
                <w:lang w:val="en-US" w:eastAsia="zh-CN" w:bidi="ar"/>
              </w:rPr>
              <w:t>trong kỳ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được xác minh việc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các quy định về kê khai, công khai bản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kỷ luật do vi phạm quy định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kê khai tài sản, thu nhập không trung thực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có vi phạm khác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PHÁT HIỆN CÁC VỤ VIỆC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vụ việc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đối tượng có hành vi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kiểm tra và tự kiểm tra của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đã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vụ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đối tượng có hành vi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 xml:space="preserve">Qua hoạt động </w:t>
            </w:r>
            <w:r>
              <w:rPr>
                <w:rStyle w:val="43"/>
                <w:rFonts w:eastAsia="SimSun"/>
                <w:sz w:val="24"/>
                <w:szCs w:val="24"/>
                <w:lang w:val="en-US" w:eastAsia="zh-CN" w:bidi="ar"/>
              </w:rPr>
              <w:t xml:space="preserve"> giám sát, thanh tra,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xem xét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 đã được xem xét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các hoạt động khác (ngoài những hoạt động nêu trên, nếu có)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điều tra tội phạm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(thuộc phạm vi quản lý) đã được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(thuộc phạm vi quản lý) đã bị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Bảo vệ, khen thưởng người tố cáo, phát hiện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được được bảo vệ theo quy định của pháp luật về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bị trả thù</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bị xử lý do có hành vi trả thù người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đã được khen, thưởng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TRÁCH NHIỆM CỦA NGƯỜI ĐỨNG ĐẦU CƠ QUAN, TỔ CHỨC, ĐƠN VỊ KHI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kết luận là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đã bị xử lý hình sự do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xử lý kỷ luật do thiếu trách nhiệm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Khiển trách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Cảnh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Cách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ít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rất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đặc biệt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bị xử lý kỷ luật hành chính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bị tham nhũng, gây thiệt hại do tham nhũng đã phát hiện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4"/>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đã được thu hồi,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4"/>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4"/>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4"/>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không thể thu hồi, khắc phục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4"/>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CHỐNG THAM NHŨNG TRONG DOANH NGHIỆP, TỔ CHỨC KHU VỰC NGOÀI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thuộc phạm vi quản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được thanh tra, kiểm tra việc thực hiện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bị xử lý do có vi phạm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Thiệt hại gây ra bởi các vụ tham nhũng trong khu vực ngoài nhà nước thuộc phạm vi quản lý </w:t>
            </w:r>
            <w:r>
              <w:rPr>
                <w:rStyle w:val="42"/>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Kết quả thu hồi tài sản tham nhũng trong khu vực ngoài nhà nước thuộc phạm vi quản lý </w:t>
            </w:r>
            <w:r>
              <w:rPr>
                <w:rStyle w:val="42"/>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bl>
    <w:p/>
    <w:p/>
    <w:p/>
    <w:p/>
    <w:p/>
    <w:tbl>
      <w:tblPr>
        <w:tblStyle w:val="3"/>
        <w:tblW w:w="13609" w:type="dxa"/>
        <w:tblInd w:w="0" w:type="dxa"/>
        <w:tblLayout w:type="autofit"/>
        <w:tblCellMar>
          <w:top w:w="0" w:type="dxa"/>
          <w:left w:w="108" w:type="dxa"/>
          <w:bottom w:w="0" w:type="dxa"/>
          <w:right w:w="108" w:type="dxa"/>
        </w:tblCellMar>
      </w:tblPr>
      <w:tblGrid>
        <w:gridCol w:w="740"/>
        <w:gridCol w:w="2521"/>
        <w:gridCol w:w="2340"/>
        <w:gridCol w:w="3320"/>
        <w:gridCol w:w="3820"/>
        <w:gridCol w:w="8"/>
        <w:gridCol w:w="631"/>
        <w:gridCol w:w="221"/>
        <w:gridCol w:w="8"/>
      </w:tblGrid>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468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02/PCTN</w:t>
            </w:r>
          </w:p>
        </w:tc>
      </w:tr>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gridAfter w:val="2"/>
          <w:wAfter w:w="229" w:type="dxa"/>
          <w:trHeight w:val="375" w:hRule="atLeast"/>
        </w:trPr>
        <w:tc>
          <w:tcPr>
            <w:tcW w:w="13380" w:type="dxa"/>
            <w:gridSpan w:val="7"/>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9</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11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TT</w:t>
            </w:r>
          </w:p>
        </w:tc>
        <w:tc>
          <w:tcPr>
            <w:tcW w:w="252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vụ</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cơ quan, tổ chức, đơn vị xảy ra sự việc</w:t>
            </w:r>
          </w:p>
        </w:tc>
        <w:tc>
          <w:tcPr>
            <w:tcW w:w="33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Cơ quan thụ lý, giải quyết vụ việc</w:t>
            </w:r>
          </w:p>
        </w:tc>
        <w:tc>
          <w:tcPr>
            <w:tcW w:w="38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Tóm tắt nội dung vụ việc</w:t>
            </w:r>
          </w:p>
        </w:tc>
        <w:tc>
          <w:tcPr>
            <w:tcW w:w="860"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Ghi chú</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bl>
    <w:p/>
    <w:p/>
    <w:p/>
    <w:p/>
    <w:p/>
    <w:p/>
    <w:p/>
    <w:p/>
    <w:tbl>
      <w:tblPr>
        <w:tblStyle w:val="3"/>
        <w:tblW w:w="13800" w:type="dxa"/>
        <w:tblInd w:w="0" w:type="dxa"/>
        <w:tblLayout w:type="autofit"/>
        <w:tblCellMar>
          <w:top w:w="0" w:type="dxa"/>
          <w:left w:w="108" w:type="dxa"/>
          <w:bottom w:w="0" w:type="dxa"/>
          <w:right w:w="108" w:type="dxa"/>
        </w:tblCellMar>
      </w:tblPr>
      <w:tblGrid>
        <w:gridCol w:w="960"/>
        <w:gridCol w:w="2200"/>
        <w:gridCol w:w="1920"/>
        <w:gridCol w:w="1800"/>
        <w:gridCol w:w="2120"/>
        <w:gridCol w:w="1800"/>
        <w:gridCol w:w="2300"/>
        <w:gridCol w:w="280"/>
        <w:gridCol w:w="420"/>
      </w:tblGrid>
      <w:tr>
        <w:tblPrEx>
          <w:tblCellMar>
            <w:top w:w="0" w:type="dxa"/>
            <w:left w:w="108" w:type="dxa"/>
            <w:bottom w:w="0" w:type="dxa"/>
            <w:right w:w="108" w:type="dxa"/>
          </w:tblCellMar>
        </w:tblPrEx>
        <w:trPr>
          <w:trHeight w:val="300" w:hRule="atLeast"/>
        </w:trPr>
        <w:tc>
          <w:tcPr>
            <w:tcW w:w="508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1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00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Biểu số: 03/PCTN</w:t>
            </w: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c>
          <w:tcPr>
            <w:tcW w:w="22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vAlign w:val="bottom"/>
          </w:tcPr>
          <w:p>
            <w:pPr>
              <w:spacing w:after="24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KẾT QUẢ PHÁT HIỆN, KHẮC PHỤC CÁC VĂN BẢN CÒN SƠ HỞ, DỄ BỊ LỢI DỤNG ĐỂ THAM NHŨNG</w:t>
            </w:r>
            <w:r>
              <w:rPr>
                <w:rFonts w:ascii="Times New Roman" w:hAnsi="Times New Roman" w:eastAsia="Times New Roman" w:cs="Times New Roman"/>
                <w:b/>
                <w:bCs/>
                <w:sz w:val="28"/>
                <w:szCs w:val="28"/>
                <w:vertAlign w:val="superscript"/>
              </w:rPr>
              <w:t>(*)</w:t>
            </w:r>
            <w:r>
              <w:rPr>
                <w:rFonts w:ascii="Times New Roman" w:hAnsi="Times New Roman" w:eastAsia="Times New Roman" w:cs="Times New Roman"/>
                <w:b/>
                <w:bCs/>
                <w:sz w:val="28"/>
                <w:szCs w:val="28"/>
              </w:rPr>
              <w:t xml:space="preserve"> </w:t>
            </w:r>
          </w:p>
        </w:tc>
      </w:tr>
      <w:tr>
        <w:tblPrEx>
          <w:tblCellMar>
            <w:top w:w="0" w:type="dxa"/>
            <w:left w:w="108" w:type="dxa"/>
            <w:bottom w:w="0" w:type="dxa"/>
            <w:right w:w="108" w:type="dxa"/>
          </w:tblCellMar>
        </w:tblPrEx>
        <w:trPr>
          <w:gridAfter w:val="1"/>
          <w:wAfter w:w="420" w:type="dxa"/>
          <w:trHeight w:val="375" w:hRule="atLeast"/>
        </w:trPr>
        <w:tc>
          <w:tcPr>
            <w:tcW w:w="13380" w:type="dxa"/>
            <w:gridSpan w:val="8"/>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9</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TT</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Tên, số, ngày, tháng, năm </w:t>
            </w:r>
          </w:p>
        </w:tc>
        <w:tc>
          <w:tcPr>
            <w:tcW w:w="1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Cơ quan ban hành văn bản</w:t>
            </w:r>
          </w:p>
        </w:tc>
        <w:tc>
          <w:tcPr>
            <w:tcW w:w="1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Nội dung sơ hở, dễ bị lợi dụng để tham nhũng</w:t>
            </w:r>
          </w:p>
        </w:tc>
        <w:tc>
          <w:tcPr>
            <w:tcW w:w="6220"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Kết quả khắc phục</w:t>
            </w:r>
          </w:p>
        </w:tc>
        <w:tc>
          <w:tcPr>
            <w:tcW w:w="70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Ghi chú</w:t>
            </w:r>
          </w:p>
        </w:tc>
      </w:tr>
      <w:tr>
        <w:tblPrEx>
          <w:tblCellMar>
            <w:top w:w="0" w:type="dxa"/>
            <w:left w:w="108" w:type="dxa"/>
            <w:bottom w:w="0" w:type="dxa"/>
            <w:right w:w="108" w:type="dxa"/>
          </w:tblCellMar>
        </w:tblPrEx>
        <w:trPr>
          <w:trHeight w:val="915"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9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Đã được khắc phục theo thẩm quyền</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Chưa khắc phục xong</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Nguyên nhân của việc chưa khắc phục xong</w:t>
            </w:r>
          </w:p>
        </w:tc>
        <w:tc>
          <w:tcPr>
            <w:tcW w:w="70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MS</w:t>
            </w:r>
          </w:p>
        </w:tc>
        <w:tc>
          <w:tcPr>
            <w:tcW w:w="22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9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700"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7</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Tổng số:</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bl>
    <w:p/>
    <w:sectPr>
      <w:headerReference r:id="rId6" w:type="first"/>
      <w:headerReference r:id="rId5" w:type="default"/>
      <w:pgSz w:w="16838" w:h="11906" w:orient="landscape"/>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746FD"/>
    <w:rsid w:val="000A068D"/>
    <w:rsid w:val="000E327B"/>
    <w:rsid w:val="000E4813"/>
    <w:rsid w:val="002133DE"/>
    <w:rsid w:val="00243BE8"/>
    <w:rsid w:val="002656E3"/>
    <w:rsid w:val="002D6696"/>
    <w:rsid w:val="00303AFC"/>
    <w:rsid w:val="00335BCA"/>
    <w:rsid w:val="003A5708"/>
    <w:rsid w:val="003B7608"/>
    <w:rsid w:val="00405E29"/>
    <w:rsid w:val="006A5E8D"/>
    <w:rsid w:val="007B309E"/>
    <w:rsid w:val="007D2E25"/>
    <w:rsid w:val="008837FC"/>
    <w:rsid w:val="00C80E4A"/>
    <w:rsid w:val="00CE4079"/>
    <w:rsid w:val="00D07A55"/>
    <w:rsid w:val="00FB4142"/>
    <w:rsid w:val="0AFF629B"/>
    <w:rsid w:val="17D426A8"/>
    <w:rsid w:val="2CEA7A99"/>
    <w:rsid w:val="3A1A0893"/>
    <w:rsid w:val="3CDD5C6A"/>
    <w:rsid w:val="42D25330"/>
    <w:rsid w:val="45AB0F6F"/>
    <w:rsid w:val="4B9F15A9"/>
    <w:rsid w:val="4FDD6AFC"/>
    <w:rsid w:val="50BF3140"/>
    <w:rsid w:val="632D7BA9"/>
    <w:rsid w:val="6B52261F"/>
    <w:rsid w:val="6D55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800080"/>
      <w:u w:val="single"/>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basedOn w:val="2"/>
    <w:semiHidden/>
    <w:unhideWhenUsed/>
    <w:qFormat/>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1">
    <w:name w:val="font6"/>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2">
    <w:name w:val="font7"/>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3">
    <w:name w:val="xl65"/>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4">
    <w:name w:val="xl66"/>
    <w:basedOn w:val="1"/>
    <w:qFormat/>
    <w:uiPriority w:val="0"/>
    <w:pP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15">
    <w:name w:val="xl67"/>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6">
    <w:name w:val="xl68"/>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7">
    <w:name w:val="xl69"/>
    <w:basedOn w:val="1"/>
    <w:qFormat/>
    <w:uiPriority w:val="0"/>
    <w:pPr>
      <w:spacing w:before="100" w:beforeAutospacing="1" w:after="100" w:afterAutospacing="1" w:line="240" w:lineRule="auto"/>
      <w:jc w:val="center"/>
    </w:pPr>
    <w:rPr>
      <w:rFonts w:ascii="Times New Roman" w:hAnsi="Times New Roman" w:eastAsia="Times New Roman" w:cs="Times New Roman"/>
      <w:i/>
      <w:iCs/>
      <w:sz w:val="28"/>
      <w:szCs w:val="28"/>
    </w:rPr>
  </w:style>
  <w:style w:type="paragraph" w:customStyle="1" w:styleId="1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1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2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sz w:val="28"/>
      <w:szCs w:val="28"/>
    </w:rPr>
  </w:style>
  <w:style w:type="paragraph" w:customStyle="1" w:styleId="21">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2">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sz w:val="28"/>
      <w:szCs w:val="28"/>
    </w:rPr>
  </w:style>
  <w:style w:type="paragraph" w:customStyle="1" w:styleId="23">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i/>
      <w:iCs/>
      <w:sz w:val="28"/>
      <w:szCs w:val="28"/>
    </w:rPr>
  </w:style>
  <w:style w:type="paragraph" w:customStyle="1" w:styleId="2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2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2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i/>
      <w:iCs/>
      <w:sz w:val="28"/>
      <w:szCs w:val="28"/>
    </w:rPr>
  </w:style>
  <w:style w:type="paragraph" w:customStyle="1" w:styleId="2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30">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i/>
      <w:iCs/>
      <w:sz w:val="28"/>
      <w:szCs w:val="28"/>
    </w:rPr>
  </w:style>
  <w:style w:type="paragraph" w:customStyle="1" w:styleId="3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3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34">
    <w:name w:val="xl8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paragraph" w:customStyle="1" w:styleId="35">
    <w:name w:val="xl8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character" w:customStyle="1" w:styleId="36">
    <w:name w:val="Balloon Text Char"/>
    <w:basedOn w:val="2"/>
    <w:link w:val="4"/>
    <w:semiHidden/>
    <w:qFormat/>
    <w:uiPriority w:val="99"/>
    <w:rPr>
      <w:rFonts w:ascii="Segoe UI" w:hAnsi="Segoe UI" w:cs="Segoe UI"/>
      <w:sz w:val="18"/>
      <w:szCs w:val="18"/>
    </w:rPr>
  </w:style>
  <w:style w:type="character" w:customStyle="1" w:styleId="37">
    <w:name w:val="font61"/>
    <w:qFormat/>
    <w:uiPriority w:val="0"/>
    <w:rPr>
      <w:rFonts w:hint="default" w:ascii="Times New Roman" w:hAnsi="Times New Roman" w:cs="Times New Roman"/>
      <w:b/>
      <w:bCs/>
      <w:color w:val="000000"/>
      <w:u w:val="none"/>
    </w:rPr>
  </w:style>
  <w:style w:type="character" w:customStyle="1" w:styleId="38">
    <w:name w:val="font51"/>
    <w:qFormat/>
    <w:uiPriority w:val="0"/>
    <w:rPr>
      <w:rFonts w:hint="default" w:ascii="Times New Roman" w:hAnsi="Times New Roman" w:cs="Times New Roman"/>
      <w:color w:val="000000"/>
      <w:u w:val="none"/>
    </w:rPr>
  </w:style>
  <w:style w:type="character" w:customStyle="1" w:styleId="39">
    <w:name w:val="font01"/>
    <w:qFormat/>
    <w:uiPriority w:val="0"/>
    <w:rPr>
      <w:rFonts w:hint="default" w:ascii="Times New Roman" w:hAnsi="Times New Roman" w:cs="Times New Roman"/>
      <w:b/>
      <w:bCs/>
      <w:i/>
      <w:iCs/>
      <w:color w:val="000000"/>
      <w:u w:val="none"/>
    </w:rPr>
  </w:style>
  <w:style w:type="character" w:customStyle="1" w:styleId="40">
    <w:name w:val="font31"/>
    <w:qFormat/>
    <w:uiPriority w:val="0"/>
    <w:rPr>
      <w:rFonts w:hint="default" w:ascii="Times New Roman" w:hAnsi="Times New Roman" w:cs="Times New Roman"/>
      <w:color w:val="000000"/>
      <w:u w:val="none"/>
      <w:vertAlign w:val="superscript"/>
    </w:rPr>
  </w:style>
  <w:style w:type="character" w:customStyle="1" w:styleId="41">
    <w:name w:val="font71"/>
    <w:qFormat/>
    <w:uiPriority w:val="0"/>
    <w:rPr>
      <w:rFonts w:hint="default" w:ascii="Times New Roman" w:hAnsi="Times New Roman" w:cs="Times New Roman"/>
      <w:b/>
      <w:bCs/>
      <w:color w:val="000000"/>
      <w:u w:val="none"/>
    </w:rPr>
  </w:style>
  <w:style w:type="character" w:customStyle="1" w:styleId="42">
    <w:name w:val="font81"/>
    <w:qFormat/>
    <w:uiPriority w:val="0"/>
    <w:rPr>
      <w:rFonts w:hint="default" w:ascii="Times New Roman" w:hAnsi="Times New Roman" w:cs="Times New Roman"/>
      <w:color w:val="000000"/>
      <w:u w:val="none"/>
    </w:rPr>
  </w:style>
  <w:style w:type="character" w:customStyle="1" w:styleId="43">
    <w:name w:val="font91"/>
    <w:qFormat/>
    <w:uiPriority w:val="0"/>
    <w:rPr>
      <w:rFonts w:hint="default" w:ascii="Times New Roman" w:hAnsi="Times New Roman" w:cs="Times New Roman"/>
      <w:b/>
      <w:bCs/>
      <w:i/>
      <w:iCs/>
      <w:color w:val="000000"/>
      <w:u w:val="none"/>
    </w:rPr>
  </w:style>
  <w:style w:type="character" w:customStyle="1" w:styleId="44">
    <w:name w:val="font101"/>
    <w:qFormat/>
    <w:uiPriority w:val="0"/>
    <w:rPr>
      <w:rFonts w:hint="default" w:ascii="Times New Roman" w:hAnsi="Times New Roman" w:cs="Times New Roman"/>
      <w:color w:val="00000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1830</Words>
  <Characters>10431</Characters>
  <Lines>86</Lines>
  <Paragraphs>24</Paragraphs>
  <TotalTime>66</TotalTime>
  <ScaleCrop>false</ScaleCrop>
  <LinksUpToDate>false</LinksUpToDate>
  <CharactersWithSpaces>12237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2022-04-25T04:09:00Z</dcterms:created>
  <dc:creator>Windows User</dc:creator>
  <cp:lastModifiedBy>ACER</cp:lastModifiedBy>
  <cp:lastPrinted>2022-09-15T08:04:00Z</cp:lastPrinted>
  <dcterms:modified xsi:type="dcterms:W3CDTF">2022-11-08T09:14:10Z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249E7C7D78B6491189BE9D834C118DCB</vt:lpwstr>
  </property>
</Properties>
</file>